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A" w:rsidRDefault="00DD71AA" w:rsidP="003D50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雲林縣道路命名及門牌整編作業要點:</w:t>
      </w:r>
    </w:p>
    <w:tbl>
      <w:tblPr>
        <w:tblW w:w="6011" w:type="pct"/>
        <w:tblInd w:w="-10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1"/>
        <w:gridCol w:w="9357"/>
      </w:tblGrid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主管機關：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雲林縣政府民政處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發文機關：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雲林縣政府行政處 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發文日期：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102.06.27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發文字號：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府民戶字第1025106853號函 函 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異動性質：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訂定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生效日期：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102.06.27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　　旨：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訂定雲林縣道路命名及門牌整編作業要點</w:t>
            </w: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法規名稱：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雲林縣道路命名及門牌整編作業要點</w:t>
            </w:r>
          </w:p>
        </w:tc>
      </w:tr>
      <w:tr w:rsidR="00DD71AA" w:rsidRPr="00DD71AA" w:rsidTr="00444221">
        <w:trPr>
          <w:hidden/>
        </w:trPr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vanish/>
                <w:color w:val="000000"/>
                <w:kern w:val="0"/>
                <w:szCs w:val="24"/>
              </w:rPr>
              <w:t>原法規名稱：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408" w:lineRule="auto"/>
              <w:jc w:val="lef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D71AA" w:rsidRPr="00DD71AA" w:rsidTr="00444221">
        <w:trPr>
          <w:hidden/>
        </w:trPr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vanish/>
                <w:color w:val="000000"/>
                <w:kern w:val="0"/>
                <w:szCs w:val="24"/>
              </w:rPr>
              <w:t>說　　明：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408" w:lineRule="auto"/>
              <w:jc w:val="lef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D71AA" w:rsidRPr="00DD71AA" w:rsidTr="00444221">
        <w:trPr>
          <w:hidden/>
        </w:trPr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vanish/>
                <w:color w:val="000000"/>
                <w:kern w:val="0"/>
                <w:szCs w:val="24"/>
              </w:rPr>
              <w:t>辦　　法：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408" w:lineRule="auto"/>
              <w:jc w:val="lef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pacing w:before="0" w:beforeAutospacing="0"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法規內文：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347E4B" w:rsidRDefault="00DD71AA" w:rsidP="00347E4B">
            <w:pPr>
              <w:widowControl/>
              <w:wordWrap w:val="0"/>
              <w:snapToGrid w:val="0"/>
              <w:spacing w:before="240" w:beforeAutospacing="0" w:line="400" w:lineRule="exact"/>
              <w:ind w:left="929" w:hanging="85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一、雲林縣政府（以下簡稱本府）為期各鄉(鎮、市)公所及戶政事務所辦理道路命名及門牌編釘、整編時有所遵循，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俾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利道路命名及門牌編釘、整編作業之順利，完善本縣門牌之管理，特訂定本要點。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240" w:beforeAutospacing="0" w:line="400" w:lineRule="exact"/>
              <w:ind w:left="1358" w:hanging="1279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二、道路區分及命名： 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firstLine="60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（一）道路區分原則：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419" w:hanging="159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1.寬度在十四公尺以上者為路。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2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2.寬度在七公尺以上未滿十四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公尺為街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2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3.路街兩旁之通道寬度未滿七公尺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者為巷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2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4.巷之兩旁狹小通道為弄。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2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5.路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或街得視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長度及實際需要分段，段之分界應取明顯處。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2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6.路、街、巷、弄之區分，在實施都市計畫地區，應以都市計畫規定之寬度為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準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；在未實施都市計畫地區，得依現實情況為區分之依據。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646" w:firstLine="12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（二）道路命名原則：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56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1.適合當地地理、史蹟或習慣者。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56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2.本縣之特色。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560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3.具有發揚地方文化之意義者。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firstLine="72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（三）道路命名作業程序：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3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347E4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各鄉(鎮、市)公所應先行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擬道路命名之範圍詳圖(需加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路寬)及道路名稱一覽表，惟須注意不可和現有道路名稱重複。 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3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347E4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各鄉(鎮、市)公所應先徵詢當地居民意見(如辦理問卷調查或取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得居民同意書)，再邀集該命名路段之村(里)長、鄰長、民意代表及地方賢達人士等召開命名會議，並經受邀代表二分之一以上出席，同時取得出席代表二分之一以上之共識，以確定道路名稱。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3" w:hanging="3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3.道路命名會議應邀請該轄戶政機關及當地居民列席。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3" w:hanging="36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4.命名協調會審核通過決議後，鄉(鎮、市)公所應於半個月內將  決議道路名稱於鄉(鎮、市)公所及相關村(里)辦公處公告一週。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0" w:hanging="357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5.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公告確定後，鄉(鎮、市)公所應將「道路擬命名一覽表」、「道路命名地區簡圖(需加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路寬)」、「問卷調查或居民同意書」、「道路命名協調會議紀錄」及公告之相關資料各一份（有關資料均應加蓋「本影本與正本相符」章戳及承辦人暨主管之職名章），函報各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該轄鄉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(鎮、市)戶政事務所初審，再由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該轄鄉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(鎮、市)戶政事務所陳報本府核定。 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0" w:hanging="357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6.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私設道路者，應檢附該私設道路之土地權利證明文件並經所有權人同意，始得為道路之命名。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610" w:hanging="357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7.道路之更名，各鄉(鎮、市)公所除依道路命名區分原則及作業程序外，並應取得道路兩旁設籍住戶過半數以上之書面同意後，函報各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該轄鄉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(鎮、市)戶政事務所陳報本府核定。</w:t>
            </w:r>
          </w:p>
          <w:p w:rsidR="00DD71AA" w:rsidRPr="00347E4B" w:rsidRDefault="00DD71AA" w:rsidP="00347E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napToGrid w:val="0"/>
              <w:spacing w:before="0" w:beforeAutospacing="0" w:line="400" w:lineRule="exact"/>
              <w:ind w:left="1320" w:hanging="1179"/>
              <w:jc w:val="lef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三、門牌編釘作業要領：</w:t>
            </w:r>
          </w:p>
          <w:p w:rsidR="00DD71AA" w:rsidRPr="00347E4B" w:rsidRDefault="007B75AD" w:rsidP="00347E4B">
            <w:pPr>
              <w:widowControl/>
              <w:wordWrap w:val="0"/>
              <w:snapToGrid w:val="0"/>
              <w:spacing w:before="0" w:beforeAutospacing="0" w:line="400" w:lineRule="exact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（一）門牌</w:t>
            </w:r>
            <w:proofErr w:type="gramStart"/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編釘應一戶</w:t>
            </w:r>
            <w:proofErr w:type="gramEnd"/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房屋以編釘一個號碼為原則。</w:t>
            </w:r>
          </w:p>
          <w:p w:rsidR="007B75AD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（二）違章建築、農舍、農業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資材室不得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申請增編門牌，僅得以初編</w:t>
            </w:r>
          </w:p>
          <w:p w:rsidR="007B75AD" w:rsidRPr="00347E4B" w:rsidRDefault="007B75AD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門牌方式辦理，並應取得土地所有權人同意書。</w:t>
            </w:r>
          </w:p>
          <w:p w:rsidR="00A807AC" w:rsidRPr="00347E4B" w:rsidRDefault="007B75AD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（三）有人居住之違章建築，違反土地使用性質或顯有妨害公共安全</w:t>
            </w:r>
          </w:p>
          <w:p w:rsidR="00A807AC" w:rsidRPr="00347E4B" w:rsidRDefault="00A807AC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rightChars="117" w:right="281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之虞者，如位於河川地、保安林地、海埔新生地、道路用地等</w:t>
            </w:r>
          </w:p>
          <w:p w:rsidR="00DD71AA" w:rsidRPr="00347E4B" w:rsidRDefault="00A807AC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不予受理申請編釘門牌。 </w:t>
            </w:r>
          </w:p>
          <w:p w:rsidR="007B75AD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（四）原編門牌號碼重複或不合規定者，應予改編。改編門牌得由房</w:t>
            </w:r>
          </w:p>
          <w:p w:rsidR="00DD71AA" w:rsidRPr="00347E4B" w:rsidRDefault="007B75AD" w:rsidP="00347E4B">
            <w:pPr>
              <w:widowControl/>
              <w:wordWrap w:val="0"/>
              <w:snapToGrid w:val="0"/>
              <w:spacing w:before="0" w:beforeAutospacing="0" w:line="400" w:lineRule="exact"/>
              <w:ind w:left="1440" w:hanging="1440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DD71AA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屋所有權人、管理人、現住人申請之。</w:t>
            </w:r>
          </w:p>
          <w:p w:rsidR="00DD71AA" w:rsidRPr="00347E4B" w:rsidRDefault="00DD71AA" w:rsidP="00347E4B">
            <w:pPr>
              <w:widowControl/>
              <w:wordWrap w:val="0"/>
              <w:snapToGrid w:val="0"/>
              <w:spacing w:before="0" w:beforeAutospacing="0" w:line="400" w:lineRule="exact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四、門牌整編：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（一）有下列情事之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者，戶政事務所應先徵詢當地居民意見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如取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得設籍住戶過半數之「整編同意書」），再將整編門牌計畫函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報本府核定。</w:t>
            </w:r>
          </w:p>
          <w:p w:rsidR="00DD71AA" w:rsidRPr="00347E4B" w:rsidRDefault="00DD71AA" w:rsidP="00474552">
            <w:pPr>
              <w:widowControl/>
              <w:tabs>
                <w:tab w:val="left" w:pos="79"/>
                <w:tab w:val="left" w:pos="567"/>
              </w:tabs>
              <w:wordWrap w:val="0"/>
              <w:snapToGrid w:val="0"/>
              <w:spacing w:before="0" w:beforeAutospacing="0" w:line="400" w:lineRule="exact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1.原編釘門牌號碼重複或順序混亂者。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     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>2.因行政區域調整，道路命名、更名等因素，致原編釘門牌已不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br/>
              <w:t>    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>符合實際者，不受前項應先徵詢當地居民意見之限制。(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>註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>：行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br/>
              <w:t>    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>政區域調整及道路命名、更名事前已取得居民同意，無庸再重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br/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lastRenderedPageBreak/>
              <w:t>     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 w:rsid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>複取得同意)。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br/>
              <w:t>    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 w:rsidR="00347E4B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8"/>
                <w:szCs w:val="28"/>
              </w:rPr>
              <w:t>3.其他因公所、民意機關決議及民眾建議應整編事項。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8"/>
                <w:szCs w:val="28"/>
              </w:rPr>
              <w:br/>
              <w:t>     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(二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各鄉(鎮、市)戶政事務所如於次年度預定辦理轄區門牌整編，應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於編列次年度預算前，依實際需要函報本府，俾利編列預算。   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(三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門牌整編計畫內容應包括：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1.主要法令依據。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2.整編之地區及理由。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</w:t>
            </w:r>
            <w:r w:rsidR="007B75AD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3.整編實施日期。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       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 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4.工作量（戶數）。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       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5.相關預算。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      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6.其他確需上級核定之事項。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（四）整編門牌後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之簿證改註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與通報：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          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           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1.將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整編之街路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門牌輸入電腦暫存檔案，列印核對無誤後再執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行戶籍轉檔及通報作業，惟如遇有公職選舉，其整編生效日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期應訂於選舉投票日前四個月以上生效。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  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2.整編生效後三日內須列印「新舊門牌號次對照表」，函送各</w:t>
            </w:r>
            <w:r w:rsid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有關機關(如中華郵政、電信公司、電力公司、自來水公司、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稅務局、監理站、地政事務所、衛生所、農會、鄉鎮市公所…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等)，供改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有關住戶住址。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          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3.戶政事務所應排定日期派員分赴各村（里）或各鄰或各戶改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註或換發戶口名簿、受理換發國民身分證及核發整編證明書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等，其通知單應於改註或換發日前五天通知民眾預為準備。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           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4.戶口名簿之改註，應於「行政區域及街路門牌調整或戶籍地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址變更」欄填寫新址，並加蓋「０年０月０日整編」戳記。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  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5.戶政事務所改註或換發戶口名簿時，應一併備妥換發換發戶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口名簿申請書、國民身分證申請書，受理民眾申請換發新簿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     證），戶口名簿欄位不敷改註申請換發免收規費，國民身分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     </w:t>
            </w:r>
            <w:r w:rsidR="009336DF"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證免收相片及規費，製妥新簿（證）後派員核發。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         （五）關路、街、巷、弄標示牌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之製掛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，應於門牌整編生效後，</w:t>
            </w:r>
            <w:r w:rsidR="00C007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444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由鄉</w:t>
            </w:r>
            <w:r w:rsidR="00444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鎮、市）戶政事務所函請鄉（鎮、市）公所儘速豎立。</w:t>
            </w:r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五、各戶政事務所執行門牌整編工作有關人員，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本府得視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其辦理成</w:t>
            </w:r>
            <w:r w:rsidR="00444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proofErr w:type="gramStart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效簽准</w:t>
            </w:r>
            <w:proofErr w:type="gramEnd"/>
            <w:r w:rsidRPr="0034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後予以獎懲。 </w:t>
            </w:r>
          </w:p>
        </w:tc>
      </w:tr>
      <w:tr w:rsidR="00DD71AA" w:rsidRPr="00DD71AA" w:rsidTr="00444221">
        <w:trPr>
          <w:hidden/>
        </w:trPr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vanish/>
                <w:color w:val="000000"/>
                <w:kern w:val="0"/>
                <w:szCs w:val="24"/>
              </w:rPr>
              <w:lastRenderedPageBreak/>
              <w:t>立法理由：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408" w:lineRule="auto"/>
              <w:jc w:val="lef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D71AA" w:rsidRPr="00DD71AA" w:rsidTr="00444221">
        <w:trPr>
          <w:hidden/>
        </w:trPr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vanish/>
                <w:color w:val="000000"/>
                <w:kern w:val="0"/>
                <w:szCs w:val="24"/>
              </w:rPr>
              <w:t>圖表附件：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408" w:lineRule="auto"/>
              <w:jc w:val="left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D71AA" w:rsidRPr="00DD71AA" w:rsidTr="00444221">
        <w:tc>
          <w:tcPr>
            <w:tcW w:w="769" w:type="pct"/>
            <w:tcBorders>
              <w:bottom w:val="dotted" w:sz="6" w:space="0" w:color="FFFFFF"/>
            </w:tcBorders>
            <w:shd w:val="clear" w:color="auto" w:fill="EEEEEE"/>
            <w:noWrap/>
            <w:tcMar>
              <w:top w:w="105" w:type="dxa"/>
              <w:left w:w="75" w:type="dxa"/>
              <w:bottom w:w="45" w:type="dxa"/>
              <w:right w:w="75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資料來源</w:t>
            </w:r>
          </w:p>
        </w:tc>
        <w:tc>
          <w:tcPr>
            <w:tcW w:w="4231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D71AA" w:rsidRPr="00DD71AA" w:rsidRDefault="00DD71AA" w:rsidP="00DD71AA">
            <w:pPr>
              <w:widowControl/>
              <w:wordWrap w:val="0"/>
              <w:spacing w:before="0" w:beforeAutospacing="0" w:line="408" w:lineRule="auto"/>
              <w:jc w:val="lef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D71A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自行通報</w:t>
            </w:r>
          </w:p>
        </w:tc>
      </w:tr>
    </w:tbl>
    <w:p w:rsidR="00DD71AA" w:rsidRDefault="00DD71AA" w:rsidP="003D5063">
      <w:pPr>
        <w:rPr>
          <w:rFonts w:ascii="標楷體" w:eastAsia="標楷體" w:hAnsi="標楷體"/>
          <w:sz w:val="28"/>
          <w:szCs w:val="28"/>
        </w:rPr>
      </w:pPr>
    </w:p>
    <w:p w:rsidR="00554F92" w:rsidRPr="00161740" w:rsidRDefault="00554F92" w:rsidP="00474552">
      <w:pPr>
        <w:ind w:leftChars="-178" w:left="-427" w:firstLineChars="50" w:firstLine="140"/>
        <w:rPr>
          <w:rFonts w:ascii="標楷體" w:eastAsia="標楷體" w:hAnsi="標楷體"/>
          <w:sz w:val="28"/>
          <w:szCs w:val="28"/>
          <w:u w:val="single"/>
        </w:rPr>
      </w:pPr>
    </w:p>
    <w:sectPr w:rsidR="00554F92" w:rsidRPr="00161740" w:rsidSect="00DD71AA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EA" w:rsidRDefault="001A26EA" w:rsidP="00D27B34">
      <w:pPr>
        <w:spacing w:before="0" w:line="240" w:lineRule="auto"/>
      </w:pPr>
      <w:r>
        <w:separator/>
      </w:r>
    </w:p>
  </w:endnote>
  <w:endnote w:type="continuationSeparator" w:id="0">
    <w:p w:rsidR="001A26EA" w:rsidRDefault="001A26EA" w:rsidP="00D2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EA" w:rsidRDefault="001A26EA" w:rsidP="00D27B34">
      <w:pPr>
        <w:spacing w:before="0" w:line="240" w:lineRule="auto"/>
      </w:pPr>
      <w:r>
        <w:separator/>
      </w:r>
    </w:p>
  </w:footnote>
  <w:footnote w:type="continuationSeparator" w:id="0">
    <w:p w:rsidR="001A26EA" w:rsidRDefault="001A26EA" w:rsidP="00D2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62"/>
    <w:multiLevelType w:val="multilevel"/>
    <w:tmpl w:val="754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CC7"/>
    <w:rsid w:val="00061AEC"/>
    <w:rsid w:val="00082EB9"/>
    <w:rsid w:val="00161740"/>
    <w:rsid w:val="001A26EA"/>
    <w:rsid w:val="001B7F09"/>
    <w:rsid w:val="001C2488"/>
    <w:rsid w:val="002C4ECE"/>
    <w:rsid w:val="00347E4B"/>
    <w:rsid w:val="003B209C"/>
    <w:rsid w:val="003D5063"/>
    <w:rsid w:val="003E2053"/>
    <w:rsid w:val="0040533B"/>
    <w:rsid w:val="00413498"/>
    <w:rsid w:val="00444221"/>
    <w:rsid w:val="00474552"/>
    <w:rsid w:val="00476CCB"/>
    <w:rsid w:val="00541338"/>
    <w:rsid w:val="00554F92"/>
    <w:rsid w:val="005760C2"/>
    <w:rsid w:val="00587546"/>
    <w:rsid w:val="0059418D"/>
    <w:rsid w:val="005A6090"/>
    <w:rsid w:val="00652553"/>
    <w:rsid w:val="006D6E21"/>
    <w:rsid w:val="007363BC"/>
    <w:rsid w:val="00767FB4"/>
    <w:rsid w:val="007B75AD"/>
    <w:rsid w:val="007C03E0"/>
    <w:rsid w:val="007D57DF"/>
    <w:rsid w:val="008368DE"/>
    <w:rsid w:val="00855910"/>
    <w:rsid w:val="008926BB"/>
    <w:rsid w:val="009336DF"/>
    <w:rsid w:val="009423BB"/>
    <w:rsid w:val="0096675C"/>
    <w:rsid w:val="009B27A7"/>
    <w:rsid w:val="009E2CC7"/>
    <w:rsid w:val="00A807AC"/>
    <w:rsid w:val="00B426D3"/>
    <w:rsid w:val="00BF0887"/>
    <w:rsid w:val="00C00788"/>
    <w:rsid w:val="00C139CE"/>
    <w:rsid w:val="00C959FA"/>
    <w:rsid w:val="00CF767E"/>
    <w:rsid w:val="00D27B34"/>
    <w:rsid w:val="00D82984"/>
    <w:rsid w:val="00DD71AA"/>
    <w:rsid w:val="00E27B1E"/>
    <w:rsid w:val="00F81F0D"/>
    <w:rsid w:val="00FB0DCB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7B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7B34"/>
    <w:rPr>
      <w:sz w:val="20"/>
      <w:szCs w:val="20"/>
    </w:rPr>
  </w:style>
  <w:style w:type="character" w:styleId="a9">
    <w:name w:val="Hyperlink"/>
    <w:basedOn w:val="a0"/>
    <w:uiPriority w:val="99"/>
    <w:unhideWhenUsed/>
    <w:rsid w:val="007D57D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A6090"/>
    <w:rPr>
      <w:b/>
      <w:bCs/>
    </w:rPr>
  </w:style>
  <w:style w:type="paragraph" w:styleId="Web">
    <w:name w:val="Normal (Web)"/>
    <w:basedOn w:val="a"/>
    <w:uiPriority w:val="99"/>
    <w:semiHidden/>
    <w:unhideWhenUsed/>
    <w:rsid w:val="005A6090"/>
    <w:pPr>
      <w:widowControl/>
      <w:spacing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DD71AA"/>
    <w:pPr>
      <w:widowControl/>
      <w:spacing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A807A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16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2017-10-25T03:27:00Z</dcterms:created>
  <dcterms:modified xsi:type="dcterms:W3CDTF">2017-10-25T05:56:00Z</dcterms:modified>
</cp:coreProperties>
</file>